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42875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273792"/>
          <w:sz w:val="30"/>
          <w:szCs w:val="30"/>
        </w:rPr>
        <w:t xml:space="preserve">Background Check Authorization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6b6e80"/>
          <w:sz w:val="18"/>
          <w:szCs w:val="18"/>
        </w:rPr>
        <w:t xml:space="preserve">Partners in Literacy Haiti · 501(c)(3) public charity · EIN 87-0904773</w:t>
      </w:r>
    </w:p>
    <w:p>
      <w:pPr>
        <w:pBdr>
          <w:bottom w:val="single" w:color="D51F36" w:sz="8"/>
        </w:pBdr>
        <w:spacing w:after="180"/>
      </w:pPr>
    </w:p>
    <w:p>
      <w:pPr>
        <w:spacing w:after="140" w:before="0"/>
      </w:pPr>
      <w:r>
        <w:rPr>
          <w:rFonts w:ascii="Calibri" w:cs="Calibri" w:eastAsia="Calibri" w:hAnsi="Calibri"/>
          <w:i/>
          <w:iCs/>
          <w:color w:val="6b6e80"/>
          <w:sz w:val="21"/>
          <w:szCs w:val="21"/>
        </w:rPr>
        <w:t xml:space="preserve">Required for every board member, staff member, and volunteer in a people-facing or financial role.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Authorization</w:t>
      </w:r>
    </w:p>
    <w:p>
      <w:pPr>
        <w:spacing w:after="140" w:before="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I authorize Partners in Literacy Haiti and its designated screening provider to obtain a background report about me for service eligibility, and to re-run it on the renewal cadence while I serve. This may include criminal history, sex-offender registry, and, where relevant to the role, credit and driving records, as permitted by law.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I understand a report will not automatically disqualify me; results are reviewed individually, in confidence, by the Chair and one other officer.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I understand my rights under the Fair Credit Reporting Act, including the right to a copy of the report and to dispute inaccurate information, and that a separate summary of rights is provided with this form.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Results are stored sealed in the DMS, visible only to the reviewing officers.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Identifying information (completed securely with the screening provider, never by email)</w:t>
      </w:r>
    </w:p>
    <w:p>
      <w:pPr>
        <w:spacing w:after="140" w:before="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The screening provider will collect identifying details through its secure portal. Do not write identification numbers on this form.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Signature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Name (print):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Role applied for: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Signature: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Date: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80" w:before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Document code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HRL-005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Renewal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Renewed every three years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Repository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Documents vault · HR &amp; Legal folder; e-signed, hash sealed, and filed by the DMS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i/>
          <w:iCs/>
          <w:color w:val="6b6e80"/>
          <w:sz w:val="16"/>
          <w:szCs w:val="16"/>
        </w:rPr>
        <w:t xml:space="preserve">Template v1, October 2026, prepared for board review. Have counsel licensed in your jurisdiction review before execution.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177bb461ce73911951fd41af938e08c80126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2026-10-26T20:34:00.456Z</dcterms:created>
  <dcterms:modified xsi:type="dcterms:W3CDTF">2026-10-26T20:34:00.456Z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