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42875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273792"/>
          <w:sz w:val="30"/>
          <w:szCs w:val="30"/>
        </w:rPr>
        <w:t xml:space="preserve">Code of Conduct Acknowledgment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b6e80"/>
          <w:sz w:val="18"/>
          <w:szCs w:val="18"/>
        </w:rPr>
        <w:t xml:space="preserve">Partners in Literacy Haiti · 501(c)(3) public charity · EIN 87-0904773</w:t>
      </w:r>
    </w:p>
    <w:p>
      <w:pPr>
        <w:pBdr>
          <w:bottom w:val="single" w:color="D51F36" w:sz="8"/>
        </w:pBdr>
        <w:spacing w:after="180"/>
      </w:pPr>
    </w:p>
    <w:p>
      <w:pPr>
        <w:spacing w:after="140" w:before="0"/>
      </w:pPr>
      <w:r>
        <w:rPr>
          <w:rFonts w:ascii="Calibri" w:cs="Calibri" w:eastAsia="Calibri" w:hAnsi="Calibri"/>
          <w:i/>
          <w:iCs/>
          <w:color w:val="6b6e80"/>
          <w:sz w:val="21"/>
          <w:szCs w:val="21"/>
        </w:rPr>
        <w:t xml:space="preserve">How we behave, everywhere we represent Partners in Literacy Haiti.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Our standards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Children first: their safety, dignity, and privacy outrank every other consideration, always.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Integrity: we are honest in our words, our numbers, and our reporting; we never promise what we cannot deliver.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Respect: we treat colleagues, communities, donors, and partners with courtesy across every culture and language we serve.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No harassment, discrimination, or retaliation of any kind, anywhere, by anyone.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Stewardship: PILH funds, property, and data are used only for the mission.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Representation: on social media and in public we speak with care; only authorized voices speak for PILH.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Reporting: raise concerns to the Chair, the Executive Director, or through the whistleblower policy; good-faith reporting is always protected.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Acknowledgment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I have read and understood this Code of Conduct. I agree to uphold it in all PILH activities, and I understand that violations may end my service.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Signature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Name (print):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Role or seat: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Signature: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Date: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80" w:before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Document code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HRL-004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Renewal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Signed at onboarding; reaffirmed annually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Repository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Documents vault · HR &amp; Legal folder; e-signed, hash sealed, and filed by the DMS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i/>
          <w:iCs/>
          <w:color w:val="6b6e80"/>
          <w:sz w:val="16"/>
          <w:szCs w:val="16"/>
        </w:rPr>
        <w:t xml:space="preserve">Template v1, October 2026, prepared for board review. Have counsel licensed in your jurisdiction review before execution.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177bb461ce73911951fd41af938e08c80126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2026-10-26T20:34:00.451Z</dcterms:created>
  <dcterms:modified xsi:type="dcterms:W3CDTF">2026-10-26T20:34:00.451Z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