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428750" cy="533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273792"/>
          <w:sz w:val="30"/>
          <w:szCs w:val="30"/>
        </w:rPr>
        <w:t xml:space="preserve">Confidentiality Agreement</w:t>
      </w:r>
    </w:p>
    <w:p>
      <w:pPr>
        <w:spacing w:after="120"/>
        <w:jc w:val="center"/>
      </w:pPr>
      <w:r>
        <w:rPr>
          <w:rFonts w:ascii="Calibri" w:cs="Calibri" w:eastAsia="Calibri" w:hAnsi="Calibri"/>
          <w:color w:val="6b6e80"/>
          <w:sz w:val="18"/>
          <w:szCs w:val="18"/>
        </w:rPr>
        <w:t xml:space="preserve">Partners in Literacy Haiti · 501(c)(3) public charity · EIN 87-0904773</w:t>
      </w:r>
    </w:p>
    <w:p>
      <w:pPr>
        <w:pBdr>
          <w:bottom w:val="single" w:color="D51F36" w:sz="8"/>
        </w:pBdr>
        <w:spacing w:after="180"/>
      </w:pPr>
    </w:p>
    <w:p>
      <w:pPr>
        <w:spacing w:after="140" w:before="0"/>
      </w:pPr>
      <w:r>
        <w:rPr>
          <w:rFonts w:ascii="Calibri" w:cs="Calibri" w:eastAsia="Calibri" w:hAnsi="Calibri"/>
          <w:i/>
          <w:iCs/>
          <w:color w:val="6b6e80"/>
          <w:sz w:val="21"/>
          <w:szCs w:val="21"/>
        </w:rPr>
        <w:t xml:space="preserve">What we learn in service of the children stays in service of the children.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Confidential information includes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Donor identities, giving histories, and contact information.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Information about children, families, students, and schools, including photographs and stories not yet released.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Personnel, volunteer, and background check information.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Board deliberations and any matter the board designates confidential.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Credentials, systems access, and security details of the PILH platform.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You agree to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Use confidential information only to carry out your PILH duties.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Never disclose it outside PILH without written authorization from the Chair or Executive Director.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Store it only in PILH systems, never in personal accounts or devices beyond approved access.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Return or destroy confidential materials when your service ends; the duty of confidentiality continues after you leave.</w:t>
      </w:r>
    </w:p>
    <w:p>
      <w:pPr>
        <w:spacing w:after="70"/>
        <w:ind w:left="360" w:hanging="200"/>
      </w:pPr>
      <w:r>
        <w:rPr>
          <w:rFonts w:ascii="Calibri" w:cs="Calibri" w:eastAsia="Calibri" w:hAnsi="Calibri"/>
          <w:color w:val="171A2E"/>
          <w:sz w:val="21"/>
          <w:szCs w:val="21"/>
        </w:rPr>
        <w:t xml:space="preserve">–  Report any suspected loss or breach to the Technology seat within 24 hours.</w:t>
      </w:r>
    </w:p>
    <w:p>
      <w:pPr>
        <w:spacing w:after="100" w:before="240"/>
      </w:pPr>
      <w:r>
        <w:rPr>
          <w:rFonts w:ascii="Calibri" w:cs="Calibri" w:eastAsia="Calibri" w:hAnsi="Calibri"/>
          <w:b/>
          <w:bCs/>
          <w:color w:val="273792"/>
          <w:sz w:val="24"/>
          <w:szCs w:val="24"/>
        </w:rPr>
        <w:t xml:space="preserve">Signature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Name (print):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Role or seat: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Signature: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20" w:before="260"/>
      </w:pPr>
      <w:r>
        <w:rPr>
          <w:rFonts w:ascii="Calibri" w:cs="Calibri" w:eastAsia="Calibri" w:hAnsi="Calibri"/>
          <w:b/>
          <w:bCs/>
          <w:color w:val="171A2E"/>
          <w:sz w:val="21"/>
          <w:szCs w:val="21"/>
        </w:rPr>
        <w:t xml:space="preserve">Date:  </w:t>
      </w:r>
      <w:r>
        <w:rPr>
          <w:rFonts w:ascii="Calibri" w:cs="Calibri" w:eastAsia="Calibri" w:hAnsi="Calibri"/>
          <w:color w:val="6b6e80"/>
          <w:sz w:val="21"/>
          <w:szCs w:val="21"/>
        </w:rPr>
        <w:t xml:space="preserve">_________________________________________</w:t>
      </w:r>
    </w:p>
    <w:p>
      <w:pPr>
        <w:spacing w:after="80" w:before="2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Document code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HRL-003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Renewal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Signed once; survives the end of service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single" w:color="E6E1D4" w:sz="4"/>
              <w:right w:val="none" w:color="FFFFFF" w:sz="0"/>
            </w:tcBorders>
            <w:shd w:fill="F3ECDD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6b6e80"/>
                <w:sz w:val="16"/>
                <w:szCs w:val="16"/>
              </w:rPr>
              <w:t xml:space="preserve">Repository</w:t>
            </w:r>
          </w:p>
          <w:p>
            <w:r>
              <w:rPr>
                <w:rFonts w:ascii="Calibri" w:cs="Calibri" w:eastAsia="Calibri" w:hAnsi="Calibri"/>
                <w:color w:val="171A2E"/>
                <w:sz w:val="19"/>
                <w:szCs w:val="19"/>
              </w:rPr>
              <w:t xml:space="preserve">Documents vault · HR &amp; Legal folder; e-signed, hash sealed, and filed by the DMS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i/>
          <w:iCs/>
          <w:color w:val="6b6e80"/>
          <w:sz w:val="16"/>
          <w:szCs w:val="16"/>
        </w:rPr>
        <w:t xml:space="preserve">Template v1, October 2026, prepared for board review. Have counsel licensed in your jurisdiction review before execution.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7177bb461ce73911951fd41af938e08c801267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2026-10-26T20:34:00.447Z</dcterms:created>
  <dcterms:modified xsi:type="dcterms:W3CDTF">2026-10-26T20:34:00.447Z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