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drawing>
          <wp:inline distT="0" distB="0" distL="0" distR="0">
            <wp:extent cx="142875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28750" cy="533400"/>
                    </a:xfrm>
                    <a:prstGeom prst="rect">
                      <a:avLst/>
                    </a:prstGeom>
                  </pic:spPr>
                </pic:pic>
              </a:graphicData>
            </a:graphic>
          </wp:inline>
        </w:drawing>
      </w:r>
    </w:p>
    <w:p>
      <w:pPr>
        <w:spacing w:after="30"/>
        <w:jc w:val="center"/>
      </w:pPr>
      <w:r>
        <w:rPr>
          <w:rFonts w:ascii="Calibri" w:cs="Calibri" w:eastAsia="Calibri" w:hAnsi="Calibri"/>
          <w:b/>
          <w:bCs/>
          <w:color w:val="273792"/>
          <w:sz w:val="30"/>
          <w:szCs w:val="30"/>
        </w:rPr>
        <w:t xml:space="preserve">Board Meeting Framework</w:t>
      </w:r>
    </w:p>
    <w:p>
      <w:pPr>
        <w:spacing w:after="120"/>
        <w:jc w:val="center"/>
      </w:pPr>
      <w:r>
        <w:rPr>
          <w:rFonts w:ascii="Calibri" w:cs="Calibri" w:eastAsia="Calibri" w:hAnsi="Calibri"/>
          <w:color w:val="6b6e80"/>
          <w:sz w:val="18"/>
          <w:szCs w:val="18"/>
        </w:rPr>
        <w:t xml:space="preserve">Partners in Literacy Haiti · 501(c)(3) public charity · EIN 87-0904773</w:t>
      </w:r>
    </w:p>
    <w:p>
      <w:pPr>
        <w:pBdr>
          <w:bottom w:val="single" w:color="D51F36" w:sz="8"/>
        </w:pBdr>
        <w:spacing w:after="180"/>
      </w:pPr>
    </w:p>
    <w:p>
      <w:pPr>
        <w:spacing w:after="140" w:before="0"/>
      </w:pPr>
      <w:r>
        <w:rPr>
          <w:rFonts w:ascii="Calibri" w:cs="Calibri" w:eastAsia="Calibri" w:hAnsi="Calibri"/>
          <w:i/>
          <w:iCs/>
          <w:color w:val="6b6e80"/>
          <w:sz w:val="21"/>
          <w:szCs w:val="21"/>
        </w:rPr>
        <w:t xml:space="preserve">The monthly operating rhythm of the PILH Board of Directors: one 90-minute meeting a month, run from Mission Control, every decision moved, seconded, voted, and recorded. Adopted by board resolution and reviewed each October.</w:t>
      </w:r>
    </w:p>
    <w:p>
      <w:pPr>
        <w:spacing w:after="100" w:before="260"/>
      </w:pPr>
      <w:r>
        <w:rPr>
          <w:rFonts w:ascii="Calibri" w:cs="Calibri" w:eastAsia="Calibri" w:hAnsi="Calibri"/>
          <w:b/>
          <w:bCs/>
          <w:color w:val="273792"/>
          <w:sz w:val="24"/>
          <w:szCs w:val="24"/>
        </w:rPr>
        <w:t xml:space="preserve">1. Ground rules</w:t>
      </w:r>
    </w:p>
    <w:p>
      <w:pPr>
        <w:spacing w:after="70"/>
        <w:ind w:left="360" w:hanging="200"/>
      </w:pPr>
      <w:r>
        <w:rPr>
          <w:rFonts w:ascii="Calibri" w:cs="Calibri" w:eastAsia="Calibri" w:hAnsi="Calibri"/>
          <w:color w:val="171A2E"/>
          <w:sz w:val="21"/>
          <w:szCs w:val="21"/>
        </w:rPr>
        <w:t xml:space="preserve">–  The board meets monthly on Zoom, 7:00 to 8:30 PM Central Time (8:00 to 9:30 PM Eastern). 8:30 is a hard stop. Meetings fall on weekday evenings, never on weekends.</w:t>
      </w:r>
    </w:p>
    <w:p>
      <w:pPr>
        <w:spacing w:after="70"/>
        <w:ind w:left="360" w:hanging="200"/>
      </w:pPr>
      <w:r>
        <w:rPr>
          <w:rFonts w:ascii="Calibri" w:cs="Calibri" w:eastAsia="Calibri" w:hAnsi="Calibri"/>
          <w:color w:val="171A2E"/>
          <w:sz w:val="21"/>
          <w:szCs w:val="21"/>
        </w:rPr>
        <w:t xml:space="preserve">–  One standing Zoom meeting, set up once by the Secretary, serves the whole year. Its link is embedded in all twelve calendar invites and in every recap email, so joining is always one click from the member's own calendar or inbox.</w:t>
      </w:r>
    </w:p>
    <w:p>
      <w:pPr>
        <w:spacing w:after="70"/>
        <w:ind w:left="360" w:hanging="200"/>
      </w:pPr>
      <w:r>
        <w:rPr>
          <w:rFonts w:ascii="Calibri" w:cs="Calibri" w:eastAsia="Calibri" w:hAnsi="Calibri"/>
          <w:color w:val="171A2E"/>
          <w:sz w:val="21"/>
          <w:szCs w:val="21"/>
        </w:rPr>
        <w:t xml:space="preserve">–  Quorum is 6 of 11 seats. No quorum by 7:10 means the Chair adjourns to the next scheduled date and the packet stands.</w:t>
      </w:r>
    </w:p>
    <w:p>
      <w:pPr>
        <w:spacing w:after="70"/>
        <w:ind w:left="360" w:hanging="200"/>
      </w:pPr>
      <w:r>
        <w:rPr>
          <w:rFonts w:ascii="Calibri" w:cs="Calibri" w:eastAsia="Calibri" w:hAnsi="Calibri"/>
          <w:color w:val="171A2E"/>
          <w:sz w:val="21"/>
          <w:szCs w:val="21"/>
        </w:rPr>
        <w:t xml:space="preserve">–  The board packet auto-sends from Mission Control 14 days before each meeting; the agenda assembles itself from open decisions, program reports, and anything a red scorecard escalates.</w:t>
      </w:r>
    </w:p>
    <w:p>
      <w:pPr>
        <w:spacing w:after="70"/>
        <w:ind w:left="360" w:hanging="200"/>
      </w:pPr>
      <w:r>
        <w:rPr>
          <w:rFonts w:ascii="Calibri" w:cs="Calibri" w:eastAsia="Calibri" w:hAnsi="Calibri"/>
          <w:color w:val="171A2E"/>
          <w:sz w:val="21"/>
          <w:szCs w:val="21"/>
        </w:rPr>
        <w:t xml:space="preserve">–  Minutes draft themselves during the meeting and go to all eleven seats within 48 hours, absentees included, with read receipts.</w:t>
      </w:r>
    </w:p>
    <w:p>
      <w:pPr>
        <w:spacing w:after="70"/>
        <w:ind w:left="360" w:hanging="200"/>
      </w:pPr>
      <w:r>
        <w:rPr>
          <w:rFonts w:ascii="Calibri" w:cs="Calibri" w:eastAsia="Calibri" w:hAnsi="Calibri"/>
          <w:color w:val="171A2E"/>
          <w:sz w:val="21"/>
          <w:szCs w:val="21"/>
        </w:rPr>
        <w:t xml:space="preserve">–  Votes taken between meetings happen electronically with 72-hour notice and are ratified in the next meeting's consent items.</w:t>
      </w:r>
    </w:p>
    <w:p>
      <w:pPr>
        <w:spacing w:after="70"/>
        <w:ind w:left="360" w:hanging="200"/>
      </w:pPr>
      <w:r>
        <w:rPr>
          <w:rFonts w:ascii="Calibri" w:cs="Calibri" w:eastAsia="Calibri" w:hAnsi="Calibri"/>
          <w:color w:val="171A2E"/>
          <w:sz w:val="21"/>
          <w:szCs w:val="21"/>
        </w:rPr>
        <w:t xml:space="preserve">–  A seat whose required documents are not current may attend and speak but may not vote until its file clears.</w:t>
      </w:r>
    </w:p>
    <w:p>
      <w:pPr>
        <w:spacing w:after="100" w:before="260"/>
      </w:pPr>
      <w:r>
        <w:rPr>
          <w:rFonts w:ascii="Calibri" w:cs="Calibri" w:eastAsia="Calibri" w:hAnsi="Calibri"/>
          <w:b/>
          <w:bCs/>
          <w:color w:val="273792"/>
          <w:sz w:val="24"/>
          <w:szCs w:val="24"/>
        </w:rPr>
        <w:t xml:space="preserve">2. The standing agenda, timed to 90 minutes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4300"/>
        <w:gridCol w:w="1700"/>
        <w:gridCol w:w="2460"/>
      </w:tblGrid>
      <w:tr>
        <w:tc>
          <w:tcPr>
            <w:tcW w:type="dxa" w:w="90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Time</w:t>
            </w:r>
          </w:p>
        </w:tc>
        <w:tc>
          <w:tcPr>
            <w:tcW w:type="dxa" w:w="430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Agenda item</w:t>
            </w:r>
          </w:p>
        </w:tc>
        <w:tc>
          <w:tcPr>
            <w:tcW w:type="dxa" w:w="170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Led by</w:t>
            </w:r>
          </w:p>
        </w:tc>
        <w:tc>
          <w:tcPr>
            <w:tcW w:type="dxa" w:w="246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Action</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Call to order and quorum check (6 of 11 seats)</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Chair</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Chair declares the meeting open</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7:02</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Approval of the agenda</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Chair</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Motion · second · voice vote</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7:05</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Approval of prior meeting minutes</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Secretary</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Motion · second · vote, recorded</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7:10</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Treasurer's report and signature queue</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Treasurer</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Motion to accept · second · vote</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7:20</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Mission Control operational review (see Section 3)</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Technology seat</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Red items only are discussed</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7:50</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Old business: action items and decision log follow-ups</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Chair</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Owner and date confirmed per item</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8:00</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New business and motions</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Any seat</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Motion · second · discussion · vote</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8:15</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Recognition and open floor</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Chair</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Board member of the month announced</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8:25</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Confirm next meeting date and assignments</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Secretary</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Read back of who owes what</w:t>
            </w:r>
          </w:p>
        </w:tc>
      </w:tr>
      <w:tr>
        <w:tc>
          <w:tcPr>
            <w:tcW w:type="dxa" w:w="9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8:28</w:t>
            </w:r>
          </w:p>
        </w:tc>
        <w:tc>
          <w:tcPr>
            <w:tcW w:type="dxa" w:w="43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Motion to adjourn</w:t>
            </w:r>
          </w:p>
        </w:tc>
        <w:tc>
          <w:tcPr>
            <w:tcW w:type="dxa" w:w="17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Any seat</w:t>
            </w:r>
          </w:p>
        </w:tc>
        <w:tc>
          <w:tcPr>
            <w:tcW w:type="dxa" w:w="24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Motion · second · no debate · vote</w:t>
            </w:r>
          </w:p>
        </w:tc>
      </w:tr>
    </w:tbl>
    <w:p>
      <w:pPr>
        <w:spacing w:after="60" w:before="0"/>
      </w:pPr>
      <w:r>
        <w:rPr>
          <w:rFonts w:ascii="Calibri" w:cs="Calibri" w:eastAsia="Calibri" w:hAnsi="Calibri"/>
          <w:color w:val="171A2E"/>
          <w:sz w:val="21"/>
          <w:szCs w:val="21"/>
        </w:rPr>
        <w:t xml:space="preserve"/>
      </w:r>
    </w:p>
    <w:p>
      <w:pPr>
        <w:spacing w:after="160" w:before="0"/>
      </w:pPr>
      <w:r>
        <w:rPr>
          <w:rFonts w:ascii="Calibri" w:cs="Calibri" w:eastAsia="Calibri" w:hAnsi="Calibri"/>
          <w:color w:val="171A2E"/>
          <w:sz w:val="21"/>
          <w:szCs w:val="21"/>
        </w:rPr>
        <w:t xml:space="preserve">Three rules keep it to 90 minutes: routine approvals ride a consent agenda and pass in one motion; the operational review discusses red items only, green is noted and skipped; and any new business item that runs past ten minutes gets an owner, a date, and a place on next month's agenda instead of more debate tonight.</w:t>
      </w:r>
    </w:p>
    <w:p>
      <w:pPr>
        <w:spacing w:after="100" w:before="260"/>
      </w:pPr>
      <w:r>
        <w:rPr>
          <w:rFonts w:ascii="Calibri" w:cs="Calibri" w:eastAsia="Calibri" w:hAnsi="Calibri"/>
          <w:b/>
          <w:bCs/>
          <w:color w:val="273792"/>
          <w:sz w:val="24"/>
          <w:szCs w:val="24"/>
        </w:rPr>
        <w:t xml:space="preserve">3. The Mission Control operational review</w:t>
      </w:r>
    </w:p>
    <w:p>
      <w:pPr>
        <w:spacing w:after="140" w:before="0"/>
      </w:pPr>
      <w:r>
        <w:rPr>
          <w:rFonts w:ascii="Calibri" w:cs="Calibri" w:eastAsia="Calibri" w:hAnsi="Calibri"/>
          <w:color w:val="171A2E"/>
          <w:sz w:val="21"/>
          <w:szCs w:val="21"/>
        </w:rPr>
        <w:t xml:space="preserve">Thirty minutes, run live on screen by the Technology seat. The console is the report; no slide decks, no re-typed numbers. The review walks the same path every month:</w:t>
      </w:r>
    </w:p>
    <w:p>
      <w:pPr>
        <w:spacing w:after="70"/>
        <w:ind w:left="360" w:hanging="200"/>
      </w:pPr>
      <w:r>
        <w:rPr>
          <w:rFonts w:ascii="Calibri" w:cs="Calibri" w:eastAsia="Calibri" w:hAnsi="Calibri"/>
          <w:color w:val="171A2E"/>
          <w:sz w:val="21"/>
          <w:szCs w:val="21"/>
        </w:rPr>
        <w:t xml:space="preserve">–  Scoreboard: the strategic plan's six metrics, green or red, against the FY2027 targets.</w:t>
      </w:r>
    </w:p>
    <w:p>
      <w:pPr>
        <w:spacing w:after="70"/>
        <w:ind w:left="360" w:hanging="200"/>
      </w:pPr>
      <w:r>
        <w:rPr>
          <w:rFonts w:ascii="Calibri" w:cs="Calibri" w:eastAsia="Calibri" w:hAnsi="Calibri"/>
          <w:color w:val="171A2E"/>
          <w:sz w:val="21"/>
          <w:szCs w:val="21"/>
        </w:rPr>
        <w:t xml:space="preserve">–  Operate: service desk volume and response times, educator intake, partner school gates G0 to G4.</w:t>
      </w:r>
    </w:p>
    <w:p>
      <w:pPr>
        <w:spacing w:after="70"/>
        <w:ind w:left="360" w:hanging="200"/>
      </w:pPr>
      <w:r>
        <w:rPr>
          <w:rFonts w:ascii="Calibri" w:cs="Calibri" w:eastAsia="Calibri" w:hAnsi="Calibri"/>
          <w:color w:val="171A2E"/>
          <w:sz w:val="21"/>
          <w:szCs w:val="21"/>
        </w:rPr>
        <w:t xml:space="preserve">–  Grow: grant pipeline stages, donor CRM and gift trace, social media pipeline, communications sent.</w:t>
      </w:r>
    </w:p>
    <w:p>
      <w:pPr>
        <w:spacing w:after="70"/>
        <w:ind w:left="360" w:hanging="200"/>
      </w:pPr>
      <w:r>
        <w:rPr>
          <w:rFonts w:ascii="Calibri" w:cs="Calibri" w:eastAsia="Calibri" w:hAnsi="Calibri"/>
          <w:color w:val="171A2E"/>
          <w:sz w:val="21"/>
          <w:szCs w:val="21"/>
        </w:rPr>
        <w:t xml:space="preserve">–  Govern: open decisions, action items from the decision log, documents and accountability metrics on every profile.</w:t>
      </w:r>
    </w:p>
    <w:p>
      <w:pPr>
        <w:spacing w:after="70"/>
        <w:ind w:left="360" w:hanging="200"/>
      </w:pPr>
      <w:r>
        <w:rPr>
          <w:rFonts w:ascii="Calibri" w:cs="Calibri" w:eastAsia="Calibri" w:hAnsi="Calibri"/>
          <w:color w:val="171A2E"/>
          <w:sz w:val="21"/>
          <w:szCs w:val="21"/>
        </w:rPr>
        <w:t xml:space="preserve">–  Money: vendor payments against budget, the signature queue, and the month's net.</w:t>
      </w:r>
    </w:p>
    <w:p>
      <w:pPr>
        <w:spacing w:after="70"/>
        <w:ind w:left="360" w:hanging="200"/>
      </w:pPr>
      <w:r>
        <w:rPr>
          <w:rFonts w:ascii="Calibri" w:cs="Calibri" w:eastAsia="Calibri" w:hAnsi="Calibri"/>
          <w:color w:val="171A2E"/>
          <w:sz w:val="21"/>
          <w:szCs w:val="21"/>
        </w:rPr>
        <w:t xml:space="preserve">–  Escalations: anything red lands here automatically with its owner's one-paragraph plan, read in advance.</w:t>
      </w:r>
    </w:p>
    <w:p>
      <w:pPr>
        <w:spacing w:after="100" w:before="260"/>
      </w:pPr>
      <w:r>
        <w:rPr>
          <w:rFonts w:ascii="Calibri" w:cs="Calibri" w:eastAsia="Calibri" w:hAnsi="Calibri"/>
          <w:b/>
          <w:bCs/>
          <w:color w:val="273792"/>
          <w:sz w:val="24"/>
          <w:szCs w:val="24"/>
        </w:rPr>
        <w:t xml:space="preserve">4. How motions work in this room</w:t>
      </w:r>
    </w:p>
    <w:p>
      <w:pPr>
        <w:spacing w:after="140" w:before="0"/>
      </w:pPr>
      <w:r>
        <w:rPr>
          <w:rFonts w:ascii="Calibri" w:cs="Calibri" w:eastAsia="Calibri" w:hAnsi="Calibri"/>
          <w:color w:val="171A2E"/>
          <w:sz w:val="21"/>
          <w:szCs w:val="21"/>
        </w:rPr>
        <w:t xml:space="preserve">Plain Robert's Rules, kept light. The exact words:</w:t>
      </w:r>
    </w:p>
    <w:p>
      <w:pPr>
        <w:spacing w:after="70"/>
        <w:ind w:left="360" w:hanging="200"/>
      </w:pPr>
      <w:r>
        <w:rPr>
          <w:rFonts w:ascii="Calibri" w:cs="Calibri" w:eastAsia="Calibri" w:hAnsi="Calibri"/>
          <w:color w:val="171A2E"/>
          <w:sz w:val="21"/>
          <w:szCs w:val="21"/>
        </w:rPr>
        <w:t xml:space="preserve">–  A member says: “I move that [the board approve the October minutes as distributed].”</w:t>
      </w:r>
    </w:p>
    <w:p>
      <w:pPr>
        <w:spacing w:after="70"/>
        <w:ind w:left="360" w:hanging="200"/>
      </w:pPr>
      <w:r>
        <w:rPr>
          <w:rFonts w:ascii="Calibri" w:cs="Calibri" w:eastAsia="Calibri" w:hAnsi="Calibri"/>
          <w:color w:val="171A2E"/>
          <w:sz w:val="21"/>
          <w:szCs w:val="21"/>
        </w:rPr>
        <w:t xml:space="preserve">–  Another member says: “Second.” A motion with no second dies without debate.</w:t>
      </w:r>
    </w:p>
    <w:p>
      <w:pPr>
        <w:spacing w:after="70"/>
        <w:ind w:left="360" w:hanging="200"/>
      </w:pPr>
      <w:r>
        <w:rPr>
          <w:rFonts w:ascii="Calibri" w:cs="Calibri" w:eastAsia="Calibri" w:hAnsi="Calibri"/>
          <w:color w:val="171A2E"/>
          <w:sz w:val="21"/>
          <w:szCs w:val="21"/>
        </w:rPr>
        <w:t xml:space="preserve">–  The Chair restates the motion, opens discussion, then calls the vote: “All in favor say aye. Opposed. Abstentions.”</w:t>
      </w:r>
    </w:p>
    <w:p>
      <w:pPr>
        <w:spacing w:after="70"/>
        <w:ind w:left="360" w:hanging="200"/>
      </w:pPr>
      <w:r>
        <w:rPr>
          <w:rFonts w:ascii="Calibri" w:cs="Calibri" w:eastAsia="Calibri" w:hAnsi="Calibri"/>
          <w:color w:val="171A2E"/>
          <w:sz w:val="21"/>
          <w:szCs w:val="21"/>
        </w:rPr>
        <w:t xml:space="preserve">–  The Chair announces the result and the Secretary records the tally: “Motion carries, 8 to 1 with 2 abstentions, R-2026-12.” Every motion gets a number in the decision log.</w:t>
      </w:r>
    </w:p>
    <w:p>
      <w:pPr>
        <w:spacing w:after="70"/>
        <w:ind w:left="360" w:hanging="200"/>
      </w:pPr>
      <w:r>
        <w:rPr>
          <w:rFonts w:ascii="Calibri" w:cs="Calibri" w:eastAsia="Calibri" w:hAnsi="Calibri"/>
          <w:color w:val="171A2E"/>
          <w:sz w:val="21"/>
          <w:szCs w:val="21"/>
        </w:rPr>
        <w:t xml:space="preserve">–  To end the meeting: “I move to adjourn.” “Second.” The motion to adjourn is not debatable; the Chair calls the vote at once and declares the meeting adjourned.</w:t>
      </w:r>
    </w:p>
    <w:p>
      <w:pPr>
        <w:spacing w:after="70"/>
        <w:ind w:left="360" w:hanging="200"/>
      </w:pPr>
      <w:r>
        <w:rPr>
          <w:rFonts w:ascii="Calibri" w:cs="Calibri" w:eastAsia="Calibri" w:hAnsi="Calibri"/>
          <w:color w:val="171A2E"/>
          <w:sz w:val="21"/>
          <w:szCs w:val="21"/>
        </w:rPr>
        <w:t xml:space="preserve">–  A conflicted member discloses, may answer questions, and leaves the discussion and vote; the minutes record the recusal.</w:t>
      </w:r>
    </w:p>
    <w:p>
      <w:pPr>
        <w:spacing w:after="100" w:before="260"/>
      </w:pPr>
      <w:r>
        <w:rPr>
          <w:rFonts w:ascii="Calibri" w:cs="Calibri" w:eastAsia="Calibri" w:hAnsi="Calibri"/>
          <w:b/>
          <w:bCs/>
          <w:color w:val="273792"/>
          <w:sz w:val="24"/>
          <w:szCs w:val="24"/>
        </w:rPr>
        <w:t xml:space="preserve">5. The 12-month meeting calendar</w:t>
      </w:r>
    </w:p>
    <w:p>
      <w:pPr>
        <w:spacing w:after="140" w:before="0"/>
      </w:pPr>
      <w:r>
        <w:rPr>
          <w:rFonts w:ascii="Calibri" w:cs="Calibri" w:eastAsia="Calibri" w:hAnsi="Calibri"/>
          <w:color w:val="171A2E"/>
          <w:sz w:val="21"/>
          <w:szCs w:val="21"/>
        </w:rPr>
        <w:t xml:space="preserve">Fourth Tuesday of every month, with November and December moved up one week for Thanksgiving and the holidays. No weekend meetings. Quarterly deep reviews fold into the March, June, and September meetings. October is the annual meeting.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1500"/>
        <w:gridCol w:w="1100"/>
        <w:gridCol w:w="1600"/>
        <w:gridCol w:w="4660"/>
      </w:tblGrid>
      <w:tr>
        <w:tc>
          <w:tcPr>
            <w:tcW w:type="dxa" w:w="50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w:t>
            </w:r>
          </w:p>
        </w:tc>
        <w:tc>
          <w:tcPr>
            <w:tcW w:type="dxa" w:w="150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Date</w:t>
            </w:r>
          </w:p>
        </w:tc>
        <w:tc>
          <w:tcPr>
            <w:tcW w:type="dxa" w:w="110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Day</w:t>
            </w:r>
          </w:p>
        </w:tc>
        <w:tc>
          <w:tcPr>
            <w:tcW w:type="dxa" w:w="160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Time (CT)</w:t>
            </w:r>
          </w:p>
        </w:tc>
        <w:tc>
          <w:tcPr>
            <w:tcW w:type="dxa" w:w="466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7"/>
                <w:szCs w:val="17"/>
              </w:rPr>
              <w:t xml:space="preserve">Focus beyond the standing agenda</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1</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Nov 17, 2026</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Moved up one week (Thanksgiving week); adopt this framework by resolution</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2</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Dec 15, 2026</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Moved up one week for the holidays; year-end giving review</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3</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Jan 26,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Adopt the 2027–2031 strategic plan</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4</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Feb 23,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Standing agenda</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5</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Mar 23,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Q1 deep review folded in</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6</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Apr 27,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Standing agenda</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May 25,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Standing agenda</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8</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Jun 22,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Q2 deep review folded in</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9</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Jul 27,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Standing agenda</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10</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Aug 24,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Back-to-school readiness: schools, gates, materials</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11</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Sep 28,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Q3 deep review folded in; FY2028 budget first read</w:t>
            </w:r>
          </w:p>
        </w:tc>
      </w:tr>
      <w:tr>
        <w:tc>
          <w:tcPr>
            <w:tcW w:type="dxa" w:w="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12</w:t>
            </w:r>
          </w:p>
        </w:tc>
        <w:tc>
          <w:tcPr>
            <w:tcW w:type="dxa" w:w="15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Oct 26, 2027</w:t>
            </w:r>
          </w:p>
        </w:tc>
        <w:tc>
          <w:tcPr>
            <w:tcW w:type="dxa" w:w="11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Tuesday</w:t>
            </w:r>
          </w:p>
        </w:tc>
        <w:tc>
          <w:tcPr>
            <w:tcW w:type="dxa" w:w="160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7:00–8:30 PM</w:t>
            </w:r>
          </w:p>
        </w:tc>
        <w:tc>
          <w:tcPr>
            <w:tcW w:type="dxa" w:w="4660"/>
            <w:tcBorders>
              <w:top w:val="none" w:color="FFFFFF" w:sz="0"/>
              <w:left w:val="none" w:color="FFFFFF" w:sz="0"/>
              <w:bottom w:val="single" w:color="E6E1D4" w:sz="4"/>
              <w:right w:val="none" w:color="FFFFFF" w:sz="0"/>
            </w:tcBorders>
            <w:tcMar>
              <w:top w:type="dxa" w:w="60"/>
              <w:left w:type="dxa" w:w="90"/>
              <w:bottom w:type="dxa" w:w="60"/>
              <w:right w:type="dxa" w:w="90"/>
            </w:tcMar>
          </w:tcPr>
          <w:p>
            <w:r>
              <w:rPr>
                <w:rFonts w:ascii="Calibri" w:cs="Calibri" w:eastAsia="Calibri" w:hAnsi="Calibri"/>
                <w:b w:val="false"/>
                <w:bCs w:val="false"/>
                <w:color w:val="171A2E"/>
                <w:sz w:val="19"/>
                <w:szCs w:val="19"/>
              </w:rPr>
              <w:t xml:space="preserve">Annual meeting: grade the year against the plan, adopt FY2028 budget, officer and term actions</w:t>
            </w:r>
          </w:p>
        </w:tc>
      </w:tr>
    </w:tbl>
    <w:p>
      <w:pPr>
        <w:spacing w:after="60" w:before="0"/>
      </w:pPr>
      <w:r>
        <w:rPr>
          <w:rFonts w:ascii="Calibri" w:cs="Calibri" w:eastAsia="Calibri" w:hAnsi="Calibri"/>
          <w:color w:val="171A2E"/>
          <w:sz w:val="21"/>
          <w:szCs w:val="21"/>
        </w:rPr>
        <w:t xml:space="preserve"/>
      </w:r>
    </w:p>
    <w:p>
      <w:pPr>
        <w:spacing w:after="160" w:before="0"/>
      </w:pPr>
      <w:r>
        <w:rPr>
          <w:rFonts w:ascii="Calibri" w:cs="Calibri" w:eastAsia="Calibri" w:hAnsi="Calibri"/>
          <w:color w:val="171A2E"/>
          <w:sz w:val="21"/>
          <w:szCs w:val="21"/>
        </w:rPr>
        <w:t xml:space="preserve">Calendar holds for all twelve dates, each with the standing Zoom link embedded, go out from Mission Control on adoption of this framework. A date may be moved by majority vote at any prior meeting, never by less than 14 days' notice.</w:t>
      </w:r>
    </w:p>
    <w:p>
      <w:pPr>
        <w:spacing w:after="100" w:before="260"/>
      </w:pPr>
      <w:r>
        <w:rPr>
          <w:rFonts w:ascii="Calibri" w:cs="Calibri" w:eastAsia="Calibri" w:hAnsi="Calibri"/>
          <w:b/>
          <w:bCs/>
          <w:color w:val="273792"/>
          <w:sz w:val="24"/>
          <w:szCs w:val="24"/>
        </w:rPr>
        <w:t xml:space="preserve">6. After the meeting: the recap that sends itself</w:t>
      </w:r>
    </w:p>
    <w:p>
      <w:pPr>
        <w:spacing w:after="140" w:before="0"/>
      </w:pPr>
      <w:r>
        <w:rPr>
          <w:rFonts w:ascii="Calibri" w:cs="Calibri" w:eastAsia="Calibri" w:hAnsi="Calibri"/>
          <w:color w:val="171A2E"/>
          <w:sz w:val="21"/>
          <w:szCs w:val="21"/>
        </w:rPr>
        <w:t xml:space="preserve">The moment minutes are approved, Mission Control sends one recap email to every member, present or absent, in the member's own language. It carries:</w:t>
      </w:r>
    </w:p>
    <w:p>
      <w:pPr>
        <w:spacing w:after="70"/>
        <w:ind w:left="360" w:hanging="200"/>
      </w:pPr>
      <w:r>
        <w:rPr>
          <w:rFonts w:ascii="Calibri" w:cs="Calibri" w:eastAsia="Calibri" w:hAnsi="Calibri"/>
          <w:color w:val="171A2E"/>
          <w:sz w:val="21"/>
          <w:szCs w:val="21"/>
        </w:rPr>
        <w:t xml:space="preserve">–  The minutes in brief: what was decided, each motion with its mover, seconder, and tally.</w:t>
      </w:r>
    </w:p>
    <w:p>
      <w:pPr>
        <w:spacing w:after="70"/>
        <w:ind w:left="360" w:hanging="200"/>
      </w:pPr>
      <w:r>
        <w:rPr>
          <w:rFonts w:ascii="Calibri" w:cs="Calibri" w:eastAsia="Calibri" w:hAnsi="Calibri"/>
          <w:color w:val="171A2E"/>
          <w:sz w:val="21"/>
          <w:szCs w:val="21"/>
        </w:rPr>
        <w:t xml:space="preserve">–  Action items with owners and dates, carried into the decision log.</w:t>
      </w:r>
    </w:p>
    <w:p>
      <w:pPr>
        <w:spacing w:after="70"/>
        <w:ind w:left="360" w:hanging="200"/>
      </w:pPr>
      <w:r>
        <w:rPr>
          <w:rFonts w:ascii="Calibri" w:cs="Calibri" w:eastAsia="Calibri" w:hAnsi="Calibri"/>
          <w:color w:val="171A2E"/>
          <w:sz w:val="21"/>
          <w:szCs w:val="21"/>
        </w:rPr>
        <w:t xml:space="preserve">–  The high-level agenda and date of the next meeting.</w:t>
      </w:r>
    </w:p>
    <w:p>
      <w:pPr>
        <w:spacing w:after="70"/>
        <w:ind w:left="360" w:hanging="200"/>
      </w:pPr>
      <w:r>
        <w:rPr>
          <w:rFonts w:ascii="Calibri" w:cs="Calibri" w:eastAsia="Calibri" w:hAnsi="Calibri"/>
          <w:color w:val="171A2E"/>
          <w:sz w:val="21"/>
          <w:szCs w:val="21"/>
        </w:rPr>
        <w:t xml:space="preserve">–  The standing Zoom link, one click to join next month.</w:t>
      </w:r>
    </w:p>
    <w:p>
      <w:pPr>
        <w:spacing w:after="70"/>
        <w:ind w:left="360" w:hanging="200"/>
      </w:pPr>
      <w:r>
        <w:rPr>
          <w:rFonts w:ascii="Calibri" w:cs="Calibri" w:eastAsia="Calibri" w:hAnsi="Calibri"/>
          <w:color w:val="171A2E"/>
          <w:sz w:val="21"/>
          <w:szCs w:val="21"/>
        </w:rPr>
        <w:t xml:space="preserve">–  The member's Mission Control access, where approvals, meetings, agendas, minutes, and documents live in full.</w:t>
      </w:r>
    </w:p>
    <w:p>
      <w:pPr>
        <w:spacing w:after="160" w:before="0"/>
      </w:pPr>
      <w:r>
        <w:rPr>
          <w:rFonts w:ascii="Calibri" w:cs="Calibri" w:eastAsia="Calibri" w:hAnsi="Calibri"/>
          <w:color w:val="171A2E"/>
          <w:sz w:val="21"/>
          <w:szCs w:val="21"/>
        </w:rPr>
        <w:t xml:space="preserve">The recap can also be re-sent to all seats with one click by the Chair or Secretary at any time. Delivery and read receipts are tracked; a seat unread after 72 hours gets an automatic reminder. No member, absent or present, is ever out of the loop.</w:t>
      </w:r>
    </w:p>
    <w:p>
      <w:pPr>
        <w:spacing w:after="100" w:before="260"/>
      </w:pPr>
      <w:r>
        <w:rPr>
          <w:rFonts w:ascii="Calibri" w:cs="Calibri" w:eastAsia="Calibri" w:hAnsi="Calibri"/>
          <w:b/>
          <w:bCs/>
          <w:color w:val="273792"/>
          <w:sz w:val="24"/>
          <w:szCs w:val="24"/>
        </w:rPr>
        <w:t xml:space="preserve">Adoption</w:t>
      </w:r>
    </w:p>
    <w:p>
      <w:pPr>
        <w:spacing w:after="140" w:before="0"/>
      </w:pPr>
      <w:r>
        <w:rPr>
          <w:rFonts w:ascii="Calibri" w:cs="Calibri" w:eastAsia="Calibri" w:hAnsi="Calibri"/>
          <w:color w:val="171A2E"/>
          <w:sz w:val="21"/>
          <w:szCs w:val="21"/>
        </w:rPr>
        <w:t xml:space="preserve">Adopted by resolution of the Board of Directors of Partners in Literacy Haiti.</w:t>
      </w:r>
    </w:p>
    <w:p>
      <w:pPr>
        <w:spacing w:after="20" w:before="260"/>
      </w:pPr>
      <w:r>
        <w:rPr>
          <w:rFonts w:ascii="Calibri" w:cs="Calibri" w:eastAsia="Calibri" w:hAnsi="Calibri"/>
          <w:b/>
          <w:bCs/>
          <w:color w:val="171A2E"/>
          <w:sz w:val="21"/>
          <w:szCs w:val="21"/>
        </w:rPr>
        <w:t xml:space="preserve">Resolution number:  </w:t>
      </w:r>
      <w:r>
        <w:rPr>
          <w:rFonts w:ascii="Calibri" w:cs="Calibri" w:eastAsia="Calibri" w:hAnsi="Calibri"/>
          <w:color w:val="6b6e80"/>
          <w:sz w:val="21"/>
          <w:szCs w:val="21"/>
        </w:rPr>
        <w:t xml:space="preserve">_________________________________________</w:t>
      </w:r>
    </w:p>
    <w:p>
      <w:pPr>
        <w:spacing w:after="20" w:before="260"/>
      </w:pPr>
      <w:r>
        <w:rPr>
          <w:rFonts w:ascii="Calibri" w:cs="Calibri" w:eastAsia="Calibri" w:hAnsi="Calibri"/>
          <w:b/>
          <w:bCs/>
          <w:color w:val="171A2E"/>
          <w:sz w:val="21"/>
          <w:szCs w:val="21"/>
        </w:rPr>
        <w:t xml:space="preserve">Board Chair:  </w:t>
      </w:r>
      <w:r>
        <w:rPr>
          <w:rFonts w:ascii="Calibri" w:cs="Calibri" w:eastAsia="Calibri" w:hAnsi="Calibri"/>
          <w:color w:val="6b6e80"/>
          <w:sz w:val="21"/>
          <w:szCs w:val="21"/>
        </w:rPr>
        <w:t xml:space="preserve">_________________________________________</w:t>
      </w:r>
    </w:p>
    <w:p>
      <w:pPr>
        <w:spacing w:after="20" w:before="260"/>
      </w:pPr>
      <w:r>
        <w:rPr>
          <w:rFonts w:ascii="Calibri" w:cs="Calibri" w:eastAsia="Calibri" w:hAnsi="Calibri"/>
          <w:b/>
          <w:bCs/>
          <w:color w:val="171A2E"/>
          <w:sz w:val="21"/>
          <w:szCs w:val="21"/>
        </w:rPr>
        <w:t xml:space="preserve">Secretary:  </w:t>
      </w:r>
      <w:r>
        <w:rPr>
          <w:rFonts w:ascii="Calibri" w:cs="Calibri" w:eastAsia="Calibri" w:hAnsi="Calibri"/>
          <w:color w:val="6b6e80"/>
          <w:sz w:val="21"/>
          <w:szCs w:val="21"/>
        </w:rPr>
        <w:t xml:space="preserve">_________________________________________</w:t>
      </w:r>
    </w:p>
    <w:p>
      <w:pPr>
        <w:spacing w:after="20" w:before="260"/>
      </w:pPr>
      <w:r>
        <w:rPr>
          <w:rFonts w:ascii="Calibri" w:cs="Calibri" w:eastAsia="Calibri" w:hAnsi="Calibri"/>
          <w:b/>
          <w:bCs/>
          <w:color w:val="171A2E"/>
          <w:sz w:val="21"/>
          <w:szCs w:val="21"/>
        </w:rPr>
        <w:t xml:space="preserve">Date:  </w:t>
      </w:r>
      <w:r>
        <w:rPr>
          <w:rFonts w:ascii="Calibri" w:cs="Calibri" w:eastAsia="Calibri" w:hAnsi="Calibri"/>
          <w:color w:val="6b6e80"/>
          <w:sz w:val="21"/>
          <w:szCs w:val="21"/>
        </w:rPr>
        <w:t xml:space="preserve">_________________________________________</w:t>
      </w:r>
    </w:p>
    <w:p>
      <w:pPr>
        <w:spacing w:after="80" w:before="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6"/>
                <w:szCs w:val="16"/>
              </w:rPr>
              <w:t xml:space="preserve">Document code</w:t>
            </w:r>
          </w:p>
          <w:p>
            <w:r>
              <w:rPr>
                <w:rFonts w:ascii="Calibri" w:cs="Calibri" w:eastAsia="Calibri" w:hAnsi="Calibri"/>
                <w:color w:val="171A2E"/>
                <w:sz w:val="19"/>
                <w:szCs w:val="19"/>
              </w:rPr>
              <w:t xml:space="preserve">GOV-004</w:t>
            </w:r>
          </w:p>
        </w:tc>
        <w:tc>
          <w:tcPr>
            <w:tcW w:type="dxa" w:w="312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6"/>
                <w:szCs w:val="16"/>
              </w:rPr>
              <w:t xml:space="preserve">Review</w:t>
            </w:r>
          </w:p>
          <w:p>
            <w:r>
              <w:rPr>
                <w:rFonts w:ascii="Calibri" w:cs="Calibri" w:eastAsia="Calibri" w:hAnsi="Calibri"/>
                <w:color w:val="171A2E"/>
                <w:sz w:val="19"/>
                <w:szCs w:val="19"/>
              </w:rPr>
              <w:t xml:space="preserve">Annually at the October annual meeting</w:t>
            </w:r>
          </w:p>
        </w:tc>
        <w:tc>
          <w:tcPr>
            <w:tcW w:type="dxa" w:w="3120"/>
            <w:tcBorders>
              <w:top w:val="none" w:color="FFFFFF" w:sz="0"/>
              <w:left w:val="none" w:color="FFFFFF" w:sz="0"/>
              <w:bottom w:val="single" w:color="E6E1D4" w:sz="4"/>
              <w:right w:val="none" w:color="FFFFFF" w:sz="0"/>
            </w:tcBorders>
            <w:shd w:fill="F3ECDD" w:val="clear"/>
            <w:tcMar>
              <w:top w:type="dxa" w:w="60"/>
              <w:left w:type="dxa" w:w="90"/>
              <w:bottom w:type="dxa" w:w="60"/>
              <w:right w:type="dxa" w:w="90"/>
            </w:tcMar>
          </w:tcPr>
          <w:p>
            <w:r>
              <w:rPr>
                <w:rFonts w:ascii="Calibri" w:cs="Calibri" w:eastAsia="Calibri" w:hAnsi="Calibri"/>
                <w:b/>
                <w:bCs/>
                <w:color w:val="6b6e80"/>
                <w:sz w:val="16"/>
                <w:szCs w:val="16"/>
              </w:rPr>
              <w:t xml:space="preserve">Repository</w:t>
            </w:r>
          </w:p>
          <w:p>
            <w:r>
              <w:rPr>
                <w:rFonts w:ascii="Calibri" w:cs="Calibri" w:eastAsia="Calibri" w:hAnsi="Calibri"/>
                <w:color w:val="171A2E"/>
                <w:sz w:val="19"/>
                <w:szCs w:val="19"/>
              </w:rPr>
              <w:t xml:space="preserve">Documents vault · Governance folder</w:t>
            </w:r>
          </w:p>
        </w:tc>
      </w:tr>
    </w:tbl>
    <w:p>
      <w:pPr>
        <w:spacing w:after="0" w:before="0"/>
      </w:pPr>
      <w:r>
        <w:rPr>
          <w:rFonts w:ascii="Calibri" w:cs="Calibri" w:eastAsia="Calibri" w:hAnsi="Calibri"/>
          <w:i/>
          <w:iCs/>
          <w:color w:val="6b6e80"/>
          <w:sz w:val="16"/>
          <w:szCs w:val="16"/>
        </w:rPr>
        <w:t xml:space="preserve">Template v1.1, October 2026, prepared for board review and adoption at the November 17, 2026 meeting.</w:t>
      </w:r>
    </w:p>
    <w:sectPr>
      <w:pgSz w:w="12240" w:h="15840" w:orient="portrait"/>
      <w:pgMar w:top="100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7177bb461ce73911951fd41af938e08c801267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2026-10-27T03:05:56.962Z</dcterms:created>
  <dcterms:modified xsi:type="dcterms:W3CDTF">2026-10-27T03:05:56.968Z</dcterms:modified>
</cp:coreProperties>
</file>

<file path=docProps/custom.xml><?xml version="1.0" encoding="utf-8"?>
<Properties xmlns="http://schemas.openxmlformats.org/officeDocument/2006/custom-properties" xmlns:vt="http://schemas.openxmlformats.org/officeDocument/2006/docPropsVTypes"/>
</file>